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vertAlign w:val="baseline"/>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Framework Prices: </w:t>
      </w:r>
    </w:p>
    <w:p w:rsidR="00000000" w:rsidDel="00000000" w:rsidP="00000000" w:rsidRDefault="00000000" w:rsidRPr="00000000" w14:paraId="0000000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440"/>
        </w:tabs>
        <w:spacing w:after="120" w:before="120" w:line="240" w:lineRule="auto"/>
        <w:ind w:left="1980" w:right="0" w:hanging="81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will be used as the basis for the charges (and are maximums that the Supplier may charge) under each Call Off Contract; and</w:t>
      </w:r>
    </w:p>
    <w:p w:rsidR="00000000" w:rsidDel="00000000" w:rsidP="00000000" w:rsidRDefault="00000000" w:rsidRPr="00000000" w14:paraId="000000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cannot be increased except as in accordance with this Schedule.</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Charges: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shall not be impacted by any change to the Framework Prices. </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1134" w:right="0" w:hanging="504"/>
        <w:jc w:val="both"/>
        <w:rPr>
          <w:rFonts w:ascii="Arial" w:cs="Arial" w:eastAsia="Arial" w:hAnsi="Arial"/>
          <w:b w:val="0"/>
          <w:i w:val="0"/>
          <w:smallCaps w:val="0"/>
          <w:strike w:val="0"/>
          <w:color w:val="000000"/>
          <w:sz w:val="24"/>
          <w:szCs w:val="24"/>
          <w:vertAlign w:val="baseline"/>
        </w:rPr>
      </w:pPr>
      <w:bookmarkStart w:colFirst="0" w:colLast="0" w:name="_heading=h.yxdev1mctf20" w:id="1"/>
      <w:bookmarkEnd w:id="1"/>
      <w:r w:rsidDel="00000000" w:rsidR="00000000" w:rsidRPr="00000000">
        <w:rPr>
          <w:rFonts w:ascii="Arial" w:cs="Arial" w:eastAsia="Arial" w:hAnsi="Arial"/>
          <w:b w:val="0"/>
          <w:i w:val="0"/>
          <w:smallCaps w:val="0"/>
          <w:strike w:val="0"/>
          <w:color w:val="000000"/>
          <w:sz w:val="24"/>
          <w:szCs w:val="24"/>
          <w:u w:val="none"/>
          <w:vertAlign w:val="baseline"/>
          <w:rtl w:val="0"/>
        </w:rPr>
        <w:t xml:space="preserve">Any variation to the Charges payable under a Call Off Contract must be agreed between the Supplier and the Buyer</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360" w:right="0"/>
        <w:jc w:val="both"/>
        <w:rPr>
          <w:rFonts w:ascii="Arial" w:cs="Arial" w:eastAsia="Arial" w:hAnsi="Arial"/>
          <w:b w:val="0"/>
          <w:i w:val="0"/>
          <w:smallCaps w:val="0"/>
          <w:strike w:val="0"/>
          <w:color w:val="000000"/>
          <w:sz w:val="24"/>
          <w:szCs w:val="24"/>
          <w:vertAlign w:val="baseline"/>
        </w:rPr>
      </w:pPr>
      <w:bookmarkStart w:colFirst="0" w:colLast="0" w:name="_heading=h.30j0zll" w:id="2"/>
      <w:bookmarkEnd w:id="2"/>
      <w:r w:rsidDel="00000000" w:rsidR="00000000" w:rsidRPr="00000000">
        <w:rPr>
          <w:rFonts w:ascii="Arial" w:cs="Arial" w:eastAsia="Arial" w:hAnsi="Arial"/>
          <w:b w:val="1"/>
          <w:sz w:val="24"/>
          <w:szCs w:val="24"/>
          <w:rtl w:val="0"/>
        </w:rPr>
        <w:t xml:space="preserve">How Framework Prices are calculated</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pricing mechanisms and prices set out in Annex 1 shall be available for use in calculation of Framework Prices in Call Off Contracts.</w:t>
      </w:r>
    </w:p>
    <w:bookmarkStart w:colFirst="0" w:colLast="0" w:name="bookmark=id.3znysh7" w:id="3"/>
    <w:bookmarkEnd w:id="3"/>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bookmarkStart w:colFirst="0" w:colLast="0" w:name="_heading=h.1fob9te" w:id="4"/>
      <w:bookmarkEnd w:id="4"/>
      <w:r w:rsidDel="00000000" w:rsidR="00000000" w:rsidRPr="00000000">
        <w:rPr>
          <w:rFonts w:ascii="Arial" w:cs="Arial" w:eastAsia="Arial" w:hAnsi="Arial"/>
          <w:b w:val="1"/>
          <w:i w:val="0"/>
          <w:smallCaps w:val="0"/>
          <w:strike w:val="0"/>
          <w:color w:val="000000"/>
          <w:sz w:val="24"/>
          <w:szCs w:val="24"/>
          <w:u w:val="none"/>
          <w:vertAlign w:val="baseline"/>
          <w:rtl w:val="0"/>
        </w:rPr>
        <w:t xml:space="preserve">Are costs and expenses included in the Framework Prices</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Except as expressly set out in Paragraph 4 below, or otherwise stated in a Call Off Order Form</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the Framework Prices shall include all costs and expenses relating to the provision of Deliverables. No further amounts shall be payable in respect of matters such as:</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incidental expenses such as lodging, document or report reproduction, shipping, desktop or office equipment costs, network or data interchange costs or other telecommunications charges; or</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costs incurred prior to the commencement of any Call Off Contract.</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Framework Prices can also be varied (and Annex 1 will be updated accordingly) due to:</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Specific Change in Law in accordance with Clause 24;</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review in accordance with insurance requirements in Clause 13; </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benchmarking review in accordance with Call Off Schedule 16 (Benchmarking)]</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request from the Supplier, which it can make at any time, to decrease the Framework Prices; and</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indexation, where Annex 1 states that a particular Framework Price or any component is “subject to Indexation” in which event Paragraph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below shall apply.</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0"/>
          <w:strike w:val="0"/>
          <w:color w:val="000000"/>
          <w:sz w:val="24"/>
          <w:szCs w:val="24"/>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When the Framework Prices are linked to inflation</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Framework Charges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are stated to be "subject to Indexation" they shall be adjusted in line with changes in the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Service Producer Price Index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PPI")</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 M7430.  All other costs, expenses, fees and charges shall not be adjusted to take account of any inflation, change to exchange rate, change to interest rate or any other factor or element which might otherwise increase the cost to the Supplier.</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Framework Prices shall not be indexed during the first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2  </w:t>
      </w:r>
      <w:r w:rsidDel="00000000" w:rsidR="00000000" w:rsidRPr="00000000">
        <w:rPr>
          <w:rFonts w:ascii="Arial" w:cs="Arial" w:eastAsia="Arial" w:hAnsi="Arial"/>
          <w:b w:val="1"/>
          <w:sz w:val="24"/>
          <w:szCs w:val="24"/>
          <w:rtl w:val="0"/>
        </w:rPr>
        <w:t xml:space="preserve">years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following the Framework Contract Commencement Date.  </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Annex 1 states a Framework Price is subject to Indexation then it will be indexed on the date which is </w:t>
      </w:r>
      <w:r w:rsidDel="00000000" w:rsidR="00000000" w:rsidRPr="00000000">
        <w:rPr>
          <w:rFonts w:ascii="Arial" w:cs="Arial" w:eastAsia="Arial" w:hAnsi="Arial"/>
          <w:b w:val="1"/>
          <w:sz w:val="24"/>
          <w:szCs w:val="24"/>
          <w:rtl w:val="0"/>
        </w:rPr>
        <w:t xml:space="preserve">two</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years after the Framework Commencement Date to reflect the percentage change in the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PPI since the Framework Commencement Date.  They shall be indexed on each following yearly anniversary to reflect the percentage change in the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PPI since the previous change.</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the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PPI Index is:</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used to carry out an indexation calculation but is then updated (for example due to it being provisional) then the indexation calculation shall also be updated unless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C</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and the Supplier agree otherwise; </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is no longer published, CCS and the Supplier shall agree a fair and reasonable replacement that will have substantially the same effect.</w:t>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0"/>
          <w:strike w:val="0"/>
          <w:color w:val="000000"/>
          <w:sz w:val="24"/>
          <w:szCs w:val="24"/>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When you will be reimbursed for travel and subsistence</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Expenses shall only be recoverable where:</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Order Form states that recovery is permitted; and</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they are Reimbursable Expenses in accordance with section 19 of Framework Schedule 1 (Specification) and are supported by Supporting Documentation.</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both"/>
        <w:rPr>
          <w:rFonts w:ascii="Arial" w:cs="Arial" w:eastAsia="Arial" w:hAnsi="Arial"/>
          <w:b w:val="0"/>
          <w:i w:val="0"/>
          <w:smallCaps w:val="0"/>
          <w:strike w:val="0"/>
          <w:color w:val="000000"/>
          <w:sz w:val="24"/>
          <w:szCs w:val="24"/>
          <w:vertAlign w:val="baseline"/>
        </w:rPr>
      </w:pPr>
      <w:bookmarkStart w:colFirst="0" w:colLast="0" w:name="_heading=h.3dy6vkm" w:id="5"/>
      <w:bookmarkEnd w:id="5"/>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shall provide a copy of their current expenses policy to the Supplier upon request.</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rFonts w:ascii="Arial Bold" w:cs="Arial Bold" w:eastAsia="Arial Bold" w:hAnsi="Arial Bold"/>
          <w:b w:val="1"/>
          <w:i w:val="0"/>
          <w:smallCaps w:val="1"/>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372"/>
        <w:jc w:val="both"/>
        <w:rPr>
          <w:rFonts w:ascii="Arial" w:cs="Arial" w:eastAsia="Arial" w:hAnsi="Arial"/>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26">
      <w:pPr>
        <w:pageBreakBefore w:val="0"/>
        <w:jc w:val="both"/>
        <w:rPr>
          <w:rFonts w:ascii="Arial" w:cs="Arial" w:eastAsia="Arial" w:hAnsi="Arial"/>
          <w:b w:val="1"/>
          <w:sz w:val="36"/>
          <w:szCs w:val="36"/>
        </w:rPr>
      </w:pPr>
      <w:bookmarkStart w:colFirst="0" w:colLast="0" w:name="_heading=h.1t3h5sf" w:id="6"/>
      <w:bookmarkEnd w:id="6"/>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Framework prices refer to the attached price matrix. </w:t>
      </w:r>
      <w:r w:rsidDel="00000000" w:rsidR="00000000" w:rsidRPr="00000000">
        <w:rPr>
          <w:rtl w:val="0"/>
        </w:rPr>
      </w:r>
    </w:p>
    <w:p w:rsidR="00000000" w:rsidDel="00000000" w:rsidP="00000000" w:rsidRDefault="00000000" w:rsidRPr="00000000" w14:paraId="00000028">
      <w:pPr>
        <w:pageBreakBefore w:val="0"/>
        <w:jc w:val="both"/>
        <w:rPr>
          <w:rFonts w:ascii="Arial" w:cs="Arial" w:eastAsia="Arial" w:hAnsi="Arial"/>
          <w:b w:val="1"/>
          <w:sz w:val="24"/>
          <w:szCs w:val="24"/>
        </w:rPr>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pPr>
      <w:r w:rsidDel="00000000" w:rsidR="00000000" w:rsidRPr="00000000">
        <w:rPr>
          <w:rtl w:val="0"/>
        </w:rPr>
      </w:r>
    </w:p>
    <w:p w:rsidR="00000000" w:rsidDel="00000000" w:rsidP="00000000" w:rsidRDefault="00000000" w:rsidRPr="00000000" w14:paraId="00000029">
      <w:pPr>
        <w:pageBreakBefore w:val="0"/>
        <w:jc w:val="both"/>
        <w:rPr>
          <w:rFonts w:ascii="Arial" w:cs="Arial" w:eastAsia="Arial" w:hAnsi="Arial"/>
          <w:b w:val="1"/>
          <w:sz w:val="24"/>
          <w:szCs w:val="24"/>
        </w:rPr>
      </w:pPr>
      <w:r w:rsidDel="00000000" w:rsidR="00000000" w:rsidRPr="00000000">
        <w:rPr>
          <w:rtl w:val="0"/>
        </w:rPr>
      </w:r>
    </w:p>
    <w:sectPr>
      <w:type w:val="nextPage"/>
      <w:pgSz w:h="16838" w:w="11906" w:orient="portrait"/>
      <w:pgMar w:bottom="1440" w:top="1888"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tab/>
      <w:t xml:space="preserve">                                           </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OyKG/sC2JYAc12QUL4Wdr9SiLA==">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2018-06-14T15:09:00Z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